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2022年度河北省红色旅游景区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参与“稳岗位 、促就业”吸纳高校毕业生见习就业统计表</w:t>
      </w:r>
    </w:p>
    <w:tbl>
      <w:tblPr>
        <w:tblStyle w:val="5"/>
        <w:tblpPr w:leftFromText="180" w:rightFromText="180" w:vertAnchor="text" w:horzAnchor="page" w:tblpX="1128" w:tblpY="282"/>
        <w:tblOverlap w:val="never"/>
        <w:tblW w:w="996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6"/>
        <w:gridCol w:w="1605"/>
        <w:gridCol w:w="1365"/>
        <w:gridCol w:w="1728"/>
        <w:gridCol w:w="1269"/>
        <w:gridCol w:w="13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2606" w:type="dxa"/>
            <w:vAlign w:val="center"/>
          </w:tcPr>
          <w:p>
            <w:pPr>
              <w:spacing w:before="217" w:line="222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before="217" w:line="22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606" w:type="dxa"/>
            <w:vAlign w:val="center"/>
          </w:tcPr>
          <w:p>
            <w:pPr>
              <w:spacing w:before="227" w:line="222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before="217" w:line="22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606" w:type="dxa"/>
            <w:vMerge w:val="restart"/>
            <w:tcBorders>
              <w:bottom w:val="nil"/>
            </w:tcBorders>
          </w:tcPr>
          <w:p>
            <w:pPr>
              <w:rPr>
                <w:rFonts w:ascii="Arial"/>
              </w:rPr>
            </w:pPr>
          </w:p>
          <w:p>
            <w:pPr>
              <w:rPr>
                <w:rFonts w:ascii="Arial"/>
              </w:rPr>
            </w:pPr>
          </w:p>
          <w:p>
            <w:pPr>
              <w:spacing w:before="91" w:line="222" w:lineRule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提供岗位类型、数量</w:t>
            </w:r>
          </w:p>
        </w:tc>
        <w:tc>
          <w:tcPr>
            <w:tcW w:w="1605" w:type="dxa"/>
            <w:vAlign w:val="center"/>
          </w:tcPr>
          <w:p>
            <w:pPr>
              <w:spacing w:before="321" w:line="208" w:lineRule="auto"/>
              <w:ind w:left="111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24"/>
                <w:szCs w:val="24"/>
              </w:rPr>
              <w:t>就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24"/>
                <w:szCs w:val="24"/>
              </w:rPr>
              <w:t>业岗位</w:t>
            </w:r>
          </w:p>
        </w:tc>
        <w:tc>
          <w:tcPr>
            <w:tcW w:w="1365" w:type="dxa"/>
            <w:vAlign w:val="center"/>
          </w:tcPr>
          <w:p>
            <w:pPr>
              <w:spacing w:before="321" w:line="208" w:lineRule="auto"/>
              <w:ind w:left="11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24"/>
                <w:szCs w:val="24"/>
              </w:rPr>
              <w:t>见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24"/>
                <w:szCs w:val="24"/>
              </w:rPr>
              <w:t>习岗位</w:t>
            </w:r>
          </w:p>
        </w:tc>
        <w:tc>
          <w:tcPr>
            <w:tcW w:w="1728" w:type="dxa"/>
            <w:vAlign w:val="center"/>
          </w:tcPr>
          <w:p>
            <w:pPr>
              <w:spacing w:before="321" w:line="207" w:lineRule="auto"/>
              <w:ind w:left="111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24"/>
                <w:szCs w:val="24"/>
              </w:rPr>
              <w:t>社区服务岗位</w:t>
            </w:r>
          </w:p>
        </w:tc>
        <w:tc>
          <w:tcPr>
            <w:tcW w:w="1269" w:type="dxa"/>
            <w:vAlign w:val="center"/>
          </w:tcPr>
          <w:p>
            <w:pPr>
              <w:spacing w:before="321" w:line="208" w:lineRule="auto"/>
              <w:ind w:left="111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24"/>
                <w:szCs w:val="24"/>
              </w:rPr>
              <w:t>公益岗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24"/>
                <w:szCs w:val="24"/>
              </w:rPr>
              <w:t>位</w:t>
            </w:r>
          </w:p>
        </w:tc>
        <w:tc>
          <w:tcPr>
            <w:tcW w:w="1388" w:type="dxa"/>
            <w:vAlign w:val="center"/>
          </w:tcPr>
          <w:p>
            <w:pPr>
              <w:spacing w:before="321" w:line="208" w:lineRule="auto"/>
              <w:ind w:left="11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1"/>
                <w:sz w:val="24"/>
                <w:szCs w:val="24"/>
              </w:rPr>
              <w:t>其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24"/>
                <w:szCs w:val="24"/>
              </w:rPr>
              <w:t>它岗位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606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632"/>
              </w:tabs>
              <w:spacing w:before="289" w:line="210" w:lineRule="auto"/>
              <w:ind w:left="10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u w:val="single"/>
              </w:rPr>
              <w:tab/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人</w:t>
            </w:r>
          </w:p>
        </w:tc>
        <w:tc>
          <w:tcPr>
            <w:tcW w:w="1365" w:type="dxa"/>
          </w:tcPr>
          <w:p>
            <w:pPr>
              <w:tabs>
                <w:tab w:val="left" w:pos="634"/>
              </w:tabs>
              <w:spacing w:before="289" w:line="210" w:lineRule="auto"/>
              <w:ind w:left="10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u w:val="single"/>
              </w:rPr>
              <w:tab/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人</w:t>
            </w:r>
          </w:p>
        </w:tc>
        <w:tc>
          <w:tcPr>
            <w:tcW w:w="1728" w:type="dxa"/>
          </w:tcPr>
          <w:p>
            <w:pPr>
              <w:tabs>
                <w:tab w:val="left" w:pos="845"/>
              </w:tabs>
              <w:spacing w:before="289" w:line="210" w:lineRule="auto"/>
              <w:ind w:left="3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u w:val="single"/>
              </w:rPr>
              <w:tab/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人</w:t>
            </w:r>
          </w:p>
        </w:tc>
        <w:tc>
          <w:tcPr>
            <w:tcW w:w="1269" w:type="dxa"/>
          </w:tcPr>
          <w:p>
            <w:pPr>
              <w:tabs>
                <w:tab w:val="left" w:pos="635"/>
              </w:tabs>
              <w:spacing w:before="289" w:line="210" w:lineRule="auto"/>
              <w:ind w:left="1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  <w:u w:val="single"/>
              </w:rPr>
              <w:tab/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人</w:t>
            </w:r>
          </w:p>
        </w:tc>
        <w:tc>
          <w:tcPr>
            <w:tcW w:w="1388" w:type="dxa"/>
          </w:tcPr>
          <w:p>
            <w:pPr>
              <w:tabs>
                <w:tab w:val="left" w:pos="710"/>
              </w:tabs>
              <w:spacing w:before="261" w:line="210" w:lineRule="auto"/>
              <w:ind w:left="10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3"/>
                <w:szCs w:val="23"/>
                <w:u w:val="single"/>
              </w:rPr>
              <w:tab/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23"/>
                <w:szCs w:val="23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1" w:hRule="atLeast"/>
        </w:trPr>
        <w:tc>
          <w:tcPr>
            <w:tcW w:w="2606" w:type="dxa"/>
            <w:vAlign w:val="center"/>
          </w:tcPr>
          <w:p>
            <w:pPr>
              <w:spacing w:before="91" w:line="337" w:lineRule="auto"/>
              <w:ind w:right="14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参与“稳岗位、促就 业”有关情况   (可另附纸张)</w:t>
            </w:r>
          </w:p>
        </w:tc>
        <w:tc>
          <w:tcPr>
            <w:tcW w:w="7355" w:type="dxa"/>
            <w:gridSpan w:val="5"/>
          </w:tcPr>
          <w:p>
            <w:pPr>
              <w:spacing w:before="181" w:line="391" w:lineRule="auto"/>
              <w:ind w:left="106" w:right="1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参与就业培训、就业指导、贫困高校毕业生就业服务以及其他就业帮扶情况。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9961" w:type="dxa"/>
            <w:gridSpan w:val="6"/>
          </w:tcPr>
          <w:p>
            <w:pPr>
              <w:spacing w:before="174" w:line="261" w:lineRule="auto"/>
              <w:ind w:left="125" w:righ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备注：请各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单位填好信息后，于6月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日、9月25日、12月25日前将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电子版发送至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协会邮箱：hshbxczx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＠163.</w:t>
            </w:r>
            <w:r>
              <w:rPr>
                <w:rFonts w:ascii="仿宋" w:hAnsi="仿宋" w:eastAsia="仿宋" w:cs="仿宋"/>
                <w:sz w:val="23"/>
                <w:szCs w:val="23"/>
              </w:rPr>
              <w:t>com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jg1YmQ4NWFkYzViZTcyZjc4ZjMzMWY0NGE5Y2QifQ=="/>
  </w:docVars>
  <w:rsids>
    <w:rsidRoot w:val="6CBB2DC5"/>
    <w:rsid w:val="236F0DD6"/>
    <w:rsid w:val="32ED2BF2"/>
    <w:rsid w:val="480A1A6D"/>
    <w:rsid w:val="49E62EC9"/>
    <w:rsid w:val="504113E7"/>
    <w:rsid w:val="6CBB2DC5"/>
    <w:rsid w:val="7D664F75"/>
    <w:rsid w:val="7D8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jc w:val="center"/>
      <w:outlineLvl w:val="0"/>
    </w:pPr>
    <w:rPr>
      <w:rFonts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2022-06-27T09:31:00Z</dcterms:created>
  <dc:creator>红色河北  裴祥存</dc:creator>
  <cp:lastModifiedBy>红色河北  裴祥存</cp:lastModifiedBy>
  <dcterms:modified xsi:type="dcterms:W3CDTF">2022-06-27T09:32:10Z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0BCA8DB3CE014C27B852179396562A75</vt:lpwstr>
  </property>
</Properties>
</file>